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BD7" w:rsidRPr="005C1B21" w:rsidRDefault="00BA7B38" w:rsidP="0058751C">
      <w:pPr>
        <w:spacing w:line="312" w:lineRule="auto"/>
        <w:jc w:val="center"/>
        <w:rPr>
          <w:rFonts w:ascii="Arial" w:hAnsi="Arial" w:cs="Arial"/>
          <w:b/>
          <w:szCs w:val="22"/>
          <w:lang w:val="es-ES"/>
        </w:rPr>
      </w:pPr>
      <w:r w:rsidRPr="005C1B21">
        <w:rPr>
          <w:rFonts w:ascii="Arial" w:hAnsi="Arial" w:cs="Arial"/>
          <w:b/>
          <w:sz w:val="22"/>
          <w:szCs w:val="22"/>
          <w:lang w:val="es-ES"/>
        </w:rPr>
        <w:t xml:space="preserve"> </w:t>
      </w:r>
      <w:r w:rsidRPr="005C1B21">
        <w:rPr>
          <w:rFonts w:ascii="Arial" w:hAnsi="Arial" w:cs="Arial"/>
          <w:b/>
          <w:sz w:val="24"/>
          <w:szCs w:val="22"/>
          <w:lang w:val="es-ES"/>
        </w:rPr>
        <w:t>Inserción mediana con el reconocido sistema tomas</w:t>
      </w:r>
      <w:r w:rsidRPr="005C1B21">
        <w:rPr>
          <w:rFonts w:ascii="Arial" w:hAnsi="Arial" w:cs="Arial"/>
          <w:b/>
          <w:sz w:val="24"/>
          <w:szCs w:val="22"/>
          <w:vertAlign w:val="superscript"/>
          <w:lang w:val="es-ES"/>
        </w:rPr>
        <w:t>®</w:t>
      </w:r>
      <w:r w:rsidRPr="005C1B21">
        <w:rPr>
          <w:rFonts w:ascii="Arial" w:hAnsi="Arial" w:cs="Arial"/>
          <w:b/>
          <w:sz w:val="24"/>
          <w:szCs w:val="22"/>
          <w:lang w:val="es-ES"/>
        </w:rPr>
        <w:t xml:space="preserve"> </w:t>
      </w:r>
      <w:r w:rsidRPr="005C1B21">
        <w:rPr>
          <w:rFonts w:ascii="Arial" w:hAnsi="Arial" w:cs="Arial"/>
          <w:b/>
          <w:sz w:val="24"/>
          <w:szCs w:val="22"/>
          <w:lang w:val="es-ES"/>
        </w:rPr>
        <w:br/>
      </w:r>
      <w:r w:rsidRPr="005C1B21">
        <w:rPr>
          <w:rFonts w:ascii="Arial" w:hAnsi="Arial" w:cs="Arial"/>
          <w:b/>
          <w:i/>
          <w:sz w:val="24"/>
          <w:szCs w:val="22"/>
          <w:lang w:val="es-ES"/>
        </w:rPr>
        <w:t>Anclaje esquelético con nuevos abutments</w:t>
      </w:r>
      <w:r w:rsidRPr="005C1B21">
        <w:rPr>
          <w:rFonts w:ascii="Arial" w:hAnsi="Arial" w:cs="Arial"/>
          <w:b/>
          <w:sz w:val="24"/>
          <w:szCs w:val="22"/>
          <w:lang w:val="es-ES"/>
        </w:rPr>
        <w:br/>
      </w:r>
    </w:p>
    <w:p w:rsidR="00E85878" w:rsidRPr="005C1B21" w:rsidRDefault="008F64B6" w:rsidP="0058751C">
      <w:pPr>
        <w:autoSpaceDE w:val="0"/>
        <w:autoSpaceDN w:val="0"/>
        <w:adjustRightInd w:val="0"/>
        <w:spacing w:line="312" w:lineRule="auto"/>
        <w:jc w:val="both"/>
        <w:rPr>
          <w:rFonts w:ascii="Arial" w:hAnsi="Arial" w:cs="Arial"/>
          <w:b/>
          <w:sz w:val="22"/>
          <w:lang w:val="es-ES"/>
        </w:rPr>
      </w:pPr>
      <w:r w:rsidRPr="005C1B21">
        <w:rPr>
          <w:rFonts w:ascii="Arial" w:hAnsi="Arial" w:cs="Arial"/>
          <w:b/>
          <w:sz w:val="22"/>
          <w:lang w:val="es-ES"/>
        </w:rPr>
        <w:t>El sistema tomas</w:t>
      </w:r>
      <w:r w:rsidRPr="005C1B21">
        <w:rPr>
          <w:rFonts w:ascii="Arial" w:eastAsia="Arial Unicode MS" w:hAnsi="Arial" w:cs="Arial"/>
          <w:b/>
          <w:sz w:val="22"/>
          <w:vertAlign w:val="superscript"/>
          <w:lang w:val="es-ES"/>
        </w:rPr>
        <w:t>®</w:t>
      </w:r>
      <w:r w:rsidRPr="005C1B21">
        <w:rPr>
          <w:rFonts w:ascii="Arial" w:hAnsi="Arial" w:cs="Arial"/>
          <w:b/>
          <w:sz w:val="22"/>
          <w:lang w:val="es-ES"/>
        </w:rPr>
        <w:t xml:space="preserve"> ha sido uno de los sistemas líderes de anclaje esquelético a nivel mundial desde hace años. Los profesionales valoran el manejo sencillo y claro, así como su alta fiabilidad. En estos años, se ha trabajado en su perfeccionamiento de manera continuada en conjunto con usuarios nacionales e internacionales. De esta manera, se han producido nuevos componentes para cubrir más indicaciones, como el uso en el paladar.</w:t>
      </w:r>
    </w:p>
    <w:p w:rsidR="00E85878" w:rsidRPr="005C1B21" w:rsidRDefault="00E85878" w:rsidP="0058751C">
      <w:pPr>
        <w:autoSpaceDE w:val="0"/>
        <w:autoSpaceDN w:val="0"/>
        <w:adjustRightInd w:val="0"/>
        <w:spacing w:line="312" w:lineRule="auto"/>
        <w:jc w:val="both"/>
        <w:rPr>
          <w:rFonts w:ascii="Arial" w:hAnsi="Arial" w:cs="Arial"/>
          <w:b/>
          <w:lang w:val="es-ES"/>
        </w:rPr>
      </w:pPr>
    </w:p>
    <w:p w:rsidR="00984EC6" w:rsidRPr="005C1B21" w:rsidRDefault="00984EC6" w:rsidP="0058751C">
      <w:pPr>
        <w:autoSpaceDE w:val="0"/>
        <w:autoSpaceDN w:val="0"/>
        <w:adjustRightInd w:val="0"/>
        <w:spacing w:line="312" w:lineRule="auto"/>
        <w:jc w:val="both"/>
        <w:rPr>
          <w:rFonts w:ascii="Arial" w:hAnsi="Arial" w:cs="Arial"/>
          <w:sz w:val="22"/>
          <w:szCs w:val="22"/>
          <w:lang w:val="es-ES"/>
        </w:rPr>
      </w:pPr>
      <w:r w:rsidRPr="005C1B21">
        <w:rPr>
          <w:rFonts w:ascii="Arial" w:hAnsi="Arial" w:cs="Arial"/>
          <w:sz w:val="22"/>
          <w:lang w:val="es-ES"/>
        </w:rPr>
        <w:t xml:space="preserve">En comparación con los abutments anteriores, los nuevos double tube 1.5 y U-wire se utilizan únicamente en combinación para la inserción mediana en el paladar. Esto se debe a que solo así se cumple su función prevista. </w:t>
      </w:r>
      <w:r w:rsidRPr="005C1B21">
        <w:rPr>
          <w:rFonts w:ascii="Arial" w:hAnsi="Arial" w:cs="Arial"/>
          <w:sz w:val="22"/>
          <w:szCs w:val="22"/>
          <w:lang w:val="es-ES"/>
        </w:rPr>
        <w:t>Con los tomas</w:t>
      </w:r>
      <w:r w:rsidRPr="005C1B21">
        <w:rPr>
          <w:rFonts w:ascii="Arial" w:eastAsia="Arial Unicode MS" w:hAnsi="Arial" w:cs="Arial"/>
          <w:sz w:val="22"/>
          <w:vertAlign w:val="superscript"/>
          <w:lang w:val="es-ES"/>
        </w:rPr>
        <w:t>®</w:t>
      </w:r>
      <w:r w:rsidRPr="005C1B21">
        <w:rPr>
          <w:rFonts w:ascii="Arial" w:hAnsi="Arial" w:cs="Arial"/>
          <w:sz w:val="22"/>
          <w:szCs w:val="22"/>
          <w:lang w:val="es-ES"/>
        </w:rPr>
        <w:t>-abutments anteriores, que se emplean para la colocación paramediana de microtornillos, se tenían que aplicar grandes esfuerzos para la realización de un aparato con tomas</w:t>
      </w:r>
      <w:r w:rsidRPr="005C1B21">
        <w:rPr>
          <w:rFonts w:ascii="Arial" w:eastAsia="Arial Unicode MS" w:hAnsi="Arial" w:cs="Arial"/>
          <w:sz w:val="22"/>
          <w:vertAlign w:val="superscript"/>
          <w:lang w:val="es-ES"/>
        </w:rPr>
        <w:t>®</w:t>
      </w:r>
      <w:r w:rsidRPr="005C1B21">
        <w:rPr>
          <w:rFonts w:ascii="Arial" w:hAnsi="Arial" w:cs="Arial"/>
          <w:sz w:val="22"/>
          <w:szCs w:val="22"/>
          <w:lang w:val="es-ES"/>
        </w:rPr>
        <w:t xml:space="preserve">-pins insertados en mediana. </w:t>
      </w:r>
    </w:p>
    <w:p w:rsidR="00B94805" w:rsidRPr="005C1B21" w:rsidRDefault="00B94805" w:rsidP="0058751C">
      <w:pPr>
        <w:autoSpaceDE w:val="0"/>
        <w:autoSpaceDN w:val="0"/>
        <w:adjustRightInd w:val="0"/>
        <w:spacing w:line="312" w:lineRule="auto"/>
        <w:jc w:val="both"/>
        <w:rPr>
          <w:rFonts w:ascii="Arial" w:hAnsi="Arial" w:cs="Arial"/>
          <w:szCs w:val="22"/>
          <w:lang w:val="es-ES"/>
        </w:rPr>
      </w:pPr>
    </w:p>
    <w:p w:rsidR="009A6699" w:rsidRPr="005C1B21" w:rsidRDefault="009A6699" w:rsidP="0058751C">
      <w:pPr>
        <w:autoSpaceDE w:val="0"/>
        <w:autoSpaceDN w:val="0"/>
        <w:adjustRightInd w:val="0"/>
        <w:spacing w:line="312" w:lineRule="auto"/>
        <w:jc w:val="both"/>
        <w:rPr>
          <w:rFonts w:ascii="Arial" w:hAnsi="Arial" w:cs="Arial"/>
          <w:b/>
          <w:sz w:val="22"/>
          <w:szCs w:val="22"/>
          <w:lang w:val="es-ES"/>
        </w:rPr>
      </w:pPr>
      <w:r w:rsidRPr="005C1B21">
        <w:rPr>
          <w:rFonts w:ascii="Arial" w:hAnsi="Arial" w:cs="Arial"/>
          <w:b/>
          <w:sz w:val="22"/>
          <w:szCs w:val="22"/>
          <w:lang w:val="es-ES"/>
        </w:rPr>
        <w:t>Los nuevos abutments</w:t>
      </w:r>
    </w:p>
    <w:p w:rsidR="0094714B" w:rsidRPr="005C1B21" w:rsidRDefault="00BC73D1" w:rsidP="0058751C">
      <w:pPr>
        <w:autoSpaceDE w:val="0"/>
        <w:autoSpaceDN w:val="0"/>
        <w:adjustRightInd w:val="0"/>
        <w:spacing w:line="312" w:lineRule="auto"/>
        <w:jc w:val="both"/>
        <w:rPr>
          <w:rFonts w:ascii="Arial" w:hAnsi="Arial" w:cs="Arial"/>
          <w:sz w:val="22"/>
          <w:lang w:val="es-ES"/>
        </w:rPr>
      </w:pPr>
      <w:r w:rsidRPr="005C1B21">
        <w:rPr>
          <w:rFonts w:ascii="Arial" w:hAnsi="Arial" w:cs="Arial"/>
          <w:sz w:val="22"/>
          <w:szCs w:val="22"/>
          <w:lang w:val="es-ES"/>
        </w:rPr>
        <w:t>El tomas</w:t>
      </w:r>
      <w:r w:rsidRPr="005C1B21">
        <w:rPr>
          <w:rFonts w:ascii="Arial" w:hAnsi="Arial" w:cs="Arial"/>
          <w:b/>
          <w:sz w:val="22"/>
          <w:vertAlign w:val="superscript"/>
          <w:lang w:val="es-ES"/>
        </w:rPr>
        <w:t>®</w:t>
      </w:r>
      <w:r w:rsidRPr="005C1B21">
        <w:rPr>
          <w:rFonts w:ascii="Arial" w:hAnsi="Arial" w:cs="Arial"/>
          <w:sz w:val="22"/>
          <w:szCs w:val="22"/>
          <w:lang w:val="es-ES"/>
        </w:rPr>
        <w:t>-abutment double tube 1.5 contiene dos tubos de acoplamiento colocados en vestibular. El abutment U-wire cuenta con un elemento de alambre doblado y soldado. Combinado como "abutment mediano", los elementos de alambre del abutment U-wire, que se extienden en paralelo, se introducen en los tubos de acoplamiento del abutment double tube 1.5.</w:t>
      </w:r>
      <w:r w:rsidRPr="005C1B21">
        <w:rPr>
          <w:rFonts w:ascii="Arial" w:hAnsi="Arial" w:cs="Arial"/>
          <w:sz w:val="22"/>
          <w:lang w:val="es-ES"/>
        </w:rPr>
        <w:t xml:space="preserve"> </w:t>
      </w:r>
    </w:p>
    <w:p w:rsidR="009E6A04" w:rsidRPr="005C1B21" w:rsidRDefault="009E6A04" w:rsidP="0058751C">
      <w:pPr>
        <w:autoSpaceDE w:val="0"/>
        <w:autoSpaceDN w:val="0"/>
        <w:adjustRightInd w:val="0"/>
        <w:spacing w:line="312" w:lineRule="auto"/>
        <w:jc w:val="both"/>
        <w:rPr>
          <w:rFonts w:ascii="Arial" w:hAnsi="Arial" w:cs="Arial"/>
          <w:szCs w:val="22"/>
          <w:lang w:val="es-ES"/>
        </w:rPr>
      </w:pPr>
    </w:p>
    <w:p w:rsidR="00984EC6" w:rsidRPr="005C1B21" w:rsidRDefault="003C2125" w:rsidP="0058751C">
      <w:pPr>
        <w:autoSpaceDE w:val="0"/>
        <w:autoSpaceDN w:val="0"/>
        <w:adjustRightInd w:val="0"/>
        <w:spacing w:line="312" w:lineRule="auto"/>
        <w:jc w:val="both"/>
        <w:rPr>
          <w:rFonts w:ascii="Arial" w:eastAsia="Arial Unicode MS" w:hAnsi="Arial" w:cs="Arial"/>
          <w:sz w:val="22"/>
          <w:lang w:val="es-ES"/>
        </w:rPr>
      </w:pPr>
      <w:r w:rsidRPr="005C1B21">
        <w:rPr>
          <w:rFonts w:ascii="Arial" w:hAnsi="Arial" w:cs="Arial"/>
          <w:sz w:val="22"/>
          <w:lang w:val="es-ES"/>
        </w:rPr>
        <w:t>El tomas</w:t>
      </w:r>
      <w:r w:rsidRPr="005C1B21">
        <w:rPr>
          <w:rFonts w:ascii="Arial" w:eastAsia="Arial Unicode MS" w:hAnsi="Arial" w:cs="Arial"/>
          <w:sz w:val="22"/>
          <w:vertAlign w:val="superscript"/>
          <w:lang w:val="es-ES"/>
        </w:rPr>
        <w:t>®</w:t>
      </w:r>
      <w:r w:rsidRPr="005C1B21">
        <w:rPr>
          <w:rFonts w:ascii="Arial" w:hAnsi="Arial" w:cs="Arial"/>
          <w:sz w:val="22"/>
          <w:lang w:val="es-ES"/>
        </w:rPr>
        <w:t>-pin EP (Elastic Palatal), que se utiliza exclusivamente para la inserción mediana, se coloca por palatino en el paladar o directamente sobre la cresta alveolar.</w:t>
      </w:r>
      <w:r w:rsidRPr="005C1B21">
        <w:rPr>
          <w:rFonts w:ascii="Arial" w:eastAsia="Arial Unicode MS" w:hAnsi="Arial" w:cs="Arial"/>
          <w:sz w:val="22"/>
          <w:lang w:val="es-ES"/>
        </w:rPr>
        <w:t xml:space="preserve"> La cabeza fungiforme del tomas</w:t>
      </w:r>
      <w:r w:rsidRPr="005C1B21">
        <w:rPr>
          <w:rFonts w:ascii="Arial" w:eastAsia="Arial Unicode MS" w:hAnsi="Arial" w:cs="Arial"/>
          <w:sz w:val="22"/>
          <w:vertAlign w:val="superscript"/>
          <w:lang w:val="es-ES"/>
        </w:rPr>
        <w:t>®</w:t>
      </w:r>
      <w:r w:rsidRPr="005C1B21">
        <w:rPr>
          <w:rFonts w:ascii="Arial" w:eastAsia="Arial Unicode MS" w:hAnsi="Arial" w:cs="Arial"/>
          <w:sz w:val="22"/>
          <w:lang w:val="es-ES"/>
        </w:rPr>
        <w:t xml:space="preserve">-pin sirve de punto de anclaje para los nuevos abutments u otros elementos de acoplamiento (por ejemplo, los resortes, los anillos elásticos o las cadenas), que realizan o apoyan el movimiento de los dientes. </w:t>
      </w:r>
    </w:p>
    <w:p w:rsidR="009A6699" w:rsidRPr="005C1B21" w:rsidRDefault="009A6699" w:rsidP="0058751C">
      <w:pPr>
        <w:autoSpaceDE w:val="0"/>
        <w:autoSpaceDN w:val="0"/>
        <w:adjustRightInd w:val="0"/>
        <w:spacing w:line="312" w:lineRule="auto"/>
        <w:jc w:val="both"/>
        <w:rPr>
          <w:rFonts w:ascii="Arial" w:hAnsi="Arial" w:cs="Arial"/>
          <w:lang w:val="es-ES"/>
        </w:rPr>
      </w:pPr>
    </w:p>
    <w:p w:rsidR="003C2125" w:rsidRPr="005C1B21" w:rsidRDefault="0058751C" w:rsidP="0058751C">
      <w:pPr>
        <w:autoSpaceDE w:val="0"/>
        <w:autoSpaceDN w:val="0"/>
        <w:adjustRightInd w:val="0"/>
        <w:spacing w:line="312" w:lineRule="auto"/>
        <w:jc w:val="both"/>
        <w:rPr>
          <w:rFonts w:ascii="Arial" w:hAnsi="Arial" w:cs="Arial"/>
          <w:b/>
          <w:sz w:val="22"/>
          <w:lang w:val="es-ES"/>
        </w:rPr>
      </w:pPr>
      <w:r w:rsidRPr="005C1B21">
        <w:rPr>
          <w:rFonts w:ascii="Arial" w:hAnsi="Arial" w:cs="Arial"/>
          <w:b/>
          <w:sz w:val="22"/>
          <w:lang w:val="es-ES"/>
        </w:rPr>
        <w:t>Sencillo y eficaz</w:t>
      </w:r>
    </w:p>
    <w:p w:rsidR="009E6A04" w:rsidRPr="005C1B21" w:rsidRDefault="00FE34F7" w:rsidP="0058751C">
      <w:pPr>
        <w:autoSpaceDE w:val="0"/>
        <w:autoSpaceDN w:val="0"/>
        <w:adjustRightInd w:val="0"/>
        <w:spacing w:line="312" w:lineRule="auto"/>
        <w:jc w:val="both"/>
        <w:rPr>
          <w:rFonts w:ascii="Arial" w:hAnsi="Arial" w:cs="Arial"/>
          <w:sz w:val="22"/>
          <w:lang w:val="es-ES"/>
        </w:rPr>
      </w:pPr>
      <w:r w:rsidRPr="005C1B21">
        <w:rPr>
          <w:rFonts w:ascii="Arial" w:hAnsi="Arial" w:cs="Arial"/>
          <w:sz w:val="22"/>
          <w:lang w:val="es-ES"/>
        </w:rPr>
        <w:t>El tomas</w:t>
      </w:r>
      <w:r w:rsidRPr="005C1B21">
        <w:rPr>
          <w:rFonts w:ascii="Arial" w:eastAsia="Arial Unicode MS" w:hAnsi="Arial" w:cs="Arial"/>
          <w:sz w:val="22"/>
          <w:vertAlign w:val="superscript"/>
          <w:lang w:val="es-ES"/>
        </w:rPr>
        <w:t>®</w:t>
      </w:r>
      <w:r w:rsidRPr="005C1B21">
        <w:rPr>
          <w:rFonts w:ascii="Arial" w:hAnsi="Arial" w:cs="Arial"/>
          <w:sz w:val="22"/>
          <w:lang w:val="es-ES"/>
        </w:rPr>
        <w:t xml:space="preserve">-pin EP dispone de un hexágono donde se pueden colocar los abutments mediante un innovador mecanismo de acople rápido. Así, dichos elementos se posicionan sobre la cabeza fungiforme del microtornillo y se aprietan ligeramente. Con un clic el abutment encaja firmemente con el hexágono. De este modo, el elemento se sitúa en perfecta posición en el microtornillo sin necesidad de enroscarlo, inclinarlo ni soldarlo. Asimismo, se puede quitar con la misma rapidez y sencillez sin tener que aplicar un movimiento demasiado suave, ni correr el riesgo de soltarlo por error. Mientras esté acoplado el abutment al microtornillo, no se presentarán fuerzas verticales en modo alguno. Igualmente, el microtornillo no se carga al cambiar o quitar el abutment. </w:t>
      </w:r>
    </w:p>
    <w:p w:rsidR="00371614" w:rsidRPr="005C1B21" w:rsidRDefault="00371614" w:rsidP="0058751C">
      <w:pPr>
        <w:autoSpaceDE w:val="0"/>
        <w:autoSpaceDN w:val="0"/>
        <w:adjustRightInd w:val="0"/>
        <w:spacing w:line="312" w:lineRule="auto"/>
        <w:jc w:val="both"/>
        <w:rPr>
          <w:rFonts w:ascii="Arial" w:hAnsi="Arial" w:cs="Arial"/>
          <w:sz w:val="22"/>
          <w:lang w:val="es-ES"/>
        </w:rPr>
      </w:pPr>
    </w:p>
    <w:p w:rsidR="00371614" w:rsidRPr="005C1B21" w:rsidRDefault="00371614" w:rsidP="0058751C">
      <w:pPr>
        <w:autoSpaceDE w:val="0"/>
        <w:autoSpaceDN w:val="0"/>
        <w:adjustRightInd w:val="0"/>
        <w:spacing w:line="312" w:lineRule="auto"/>
        <w:jc w:val="both"/>
        <w:rPr>
          <w:rFonts w:ascii="Arial" w:hAnsi="Arial" w:cs="Arial"/>
          <w:sz w:val="22"/>
          <w:lang w:val="es-ES"/>
        </w:rPr>
      </w:pPr>
    </w:p>
    <w:p w:rsidR="009E6A04" w:rsidRPr="005C1B21" w:rsidRDefault="00FE34F7" w:rsidP="0058751C">
      <w:pPr>
        <w:autoSpaceDE w:val="0"/>
        <w:autoSpaceDN w:val="0"/>
        <w:adjustRightInd w:val="0"/>
        <w:spacing w:line="312" w:lineRule="auto"/>
        <w:jc w:val="both"/>
        <w:rPr>
          <w:rFonts w:ascii="Arial" w:hAnsi="Arial" w:cs="Arial"/>
          <w:sz w:val="22"/>
          <w:lang w:val="es-ES"/>
        </w:rPr>
      </w:pPr>
      <w:r w:rsidRPr="005C1B21">
        <w:rPr>
          <w:rFonts w:ascii="Arial" w:hAnsi="Arial" w:cs="Arial"/>
          <w:sz w:val="22"/>
          <w:lang w:val="es-ES"/>
        </w:rPr>
        <w:t>Los tomas</w:t>
      </w:r>
      <w:r w:rsidRPr="005C1B21">
        <w:rPr>
          <w:rFonts w:ascii="Arial" w:eastAsia="Arial Unicode MS" w:hAnsi="Arial" w:cs="Arial"/>
          <w:sz w:val="22"/>
          <w:vertAlign w:val="superscript"/>
          <w:lang w:val="es-ES"/>
        </w:rPr>
        <w:t>®</w:t>
      </w:r>
      <w:r w:rsidRPr="005C1B21">
        <w:rPr>
          <w:rFonts w:ascii="Arial" w:hAnsi="Arial" w:cs="Arial"/>
          <w:sz w:val="22"/>
          <w:lang w:val="es-ES"/>
        </w:rPr>
        <w:t>-abutments se pueden girar 360° para orientarlos dentro de la arcada. Así también se pueden compensar ángulos de inserción distintos en dos microtornillos que han de estar en posición sagital en el área de la sutura palatina. Asimismo, los tomas</w:t>
      </w:r>
      <w:r w:rsidRPr="005C1B21">
        <w:rPr>
          <w:rFonts w:ascii="Arial" w:eastAsia="Arial Unicode MS" w:hAnsi="Arial" w:cs="Arial"/>
          <w:sz w:val="22"/>
          <w:vertAlign w:val="superscript"/>
          <w:lang w:val="es-ES"/>
        </w:rPr>
        <w:t>®</w:t>
      </w:r>
      <w:r w:rsidRPr="005C1B21">
        <w:rPr>
          <w:rFonts w:ascii="Arial" w:hAnsi="Arial" w:cs="Arial"/>
          <w:sz w:val="22"/>
          <w:lang w:val="es-ES"/>
        </w:rPr>
        <w:t>-abutments con ataches (tubos, alambres, etc.) pueden compensar divergencias del ángulo de inserción de hasta 10º por tomas</w:t>
      </w:r>
      <w:r w:rsidRPr="005C1B21">
        <w:rPr>
          <w:rFonts w:ascii="Arial" w:eastAsia="Arial Unicode MS" w:hAnsi="Arial" w:cs="Arial"/>
          <w:sz w:val="22"/>
          <w:vertAlign w:val="superscript"/>
          <w:lang w:val="es-ES"/>
        </w:rPr>
        <w:t>®</w:t>
      </w:r>
      <w:r w:rsidRPr="005C1B21">
        <w:rPr>
          <w:rFonts w:ascii="Arial" w:hAnsi="Arial" w:cs="Arial"/>
          <w:sz w:val="22"/>
          <w:lang w:val="es-ES"/>
        </w:rPr>
        <w:t>-pin. Ambos tomas</w:t>
      </w:r>
      <w:r w:rsidRPr="005C1B21">
        <w:rPr>
          <w:rFonts w:ascii="Arial" w:eastAsia="Arial Unicode MS" w:hAnsi="Arial" w:cs="Arial"/>
          <w:sz w:val="22"/>
          <w:vertAlign w:val="superscript"/>
          <w:lang w:val="es-ES"/>
        </w:rPr>
        <w:t>®</w:t>
      </w:r>
      <w:r w:rsidRPr="005C1B21">
        <w:rPr>
          <w:rFonts w:ascii="Arial" w:hAnsi="Arial" w:cs="Arial"/>
          <w:sz w:val="22"/>
          <w:lang w:val="es-ES"/>
        </w:rPr>
        <w:t>-abutments ya están disponibles junto con el resto del surtido actual de tomas</w:t>
      </w:r>
      <w:r w:rsidRPr="005C1B21">
        <w:rPr>
          <w:rFonts w:ascii="Arial" w:hAnsi="Arial" w:cs="Arial"/>
          <w:b/>
          <w:sz w:val="22"/>
          <w:vertAlign w:val="superscript"/>
          <w:lang w:val="es-ES"/>
        </w:rPr>
        <w:t>®</w:t>
      </w:r>
      <w:r w:rsidRPr="005C1B21">
        <w:rPr>
          <w:rFonts w:ascii="Arial" w:hAnsi="Arial" w:cs="Arial"/>
          <w:sz w:val="22"/>
          <w:lang w:val="es-ES"/>
        </w:rPr>
        <w:t xml:space="preserve">. </w:t>
      </w:r>
    </w:p>
    <w:p w:rsidR="008F64B6" w:rsidRPr="005C1B21" w:rsidRDefault="008F64B6" w:rsidP="0058751C">
      <w:pPr>
        <w:autoSpaceDE w:val="0"/>
        <w:autoSpaceDN w:val="0"/>
        <w:adjustRightInd w:val="0"/>
        <w:spacing w:line="312" w:lineRule="auto"/>
        <w:jc w:val="both"/>
        <w:rPr>
          <w:rFonts w:ascii="Arial" w:eastAsia="Arial Unicode MS" w:hAnsi="Arial" w:cs="Arial"/>
          <w:lang w:val="es-ES"/>
        </w:rPr>
      </w:pPr>
    </w:p>
    <w:p w:rsidR="008F64B6" w:rsidRPr="005C1B21" w:rsidRDefault="00832522" w:rsidP="0058751C">
      <w:pPr>
        <w:autoSpaceDE w:val="0"/>
        <w:autoSpaceDN w:val="0"/>
        <w:adjustRightInd w:val="0"/>
        <w:spacing w:line="312" w:lineRule="auto"/>
        <w:jc w:val="both"/>
        <w:rPr>
          <w:rFonts w:ascii="Arial" w:eastAsia="Arial Unicode MS" w:hAnsi="Arial" w:cs="Arial"/>
          <w:sz w:val="22"/>
          <w:lang w:val="es-ES"/>
        </w:rPr>
      </w:pPr>
      <w:r w:rsidRPr="005C1B21">
        <w:rPr>
          <w:rFonts w:ascii="Arial" w:eastAsia="Arial Unicode MS" w:hAnsi="Arial" w:cs="Arial"/>
          <w:b/>
          <w:sz w:val="22"/>
          <w:lang w:val="es-ES"/>
        </w:rPr>
        <w:t>tomas</w:t>
      </w:r>
      <w:r w:rsidRPr="005C1B21">
        <w:rPr>
          <w:rFonts w:ascii="Arial" w:eastAsia="Arial Unicode MS" w:hAnsi="Arial" w:cs="Arial"/>
          <w:b/>
          <w:sz w:val="22"/>
          <w:vertAlign w:val="superscript"/>
          <w:lang w:val="es-ES"/>
        </w:rPr>
        <w:t>®</w:t>
      </w:r>
      <w:r w:rsidRPr="005C1B21">
        <w:rPr>
          <w:rFonts w:ascii="Arial" w:eastAsia="Arial Unicode MS" w:hAnsi="Arial" w:cs="Arial"/>
          <w:b/>
          <w:sz w:val="22"/>
          <w:lang w:val="es-ES"/>
        </w:rPr>
        <w:t>-pin EP</w:t>
      </w:r>
      <w:r w:rsidRPr="005C1B21">
        <w:rPr>
          <w:rFonts w:ascii="Arial" w:hAnsi="Arial" w:cs="Arial"/>
          <w:sz w:val="22"/>
          <w:lang w:val="es-ES"/>
        </w:rPr>
        <w:t xml:space="preserve"> </w:t>
      </w:r>
      <w:r w:rsidRPr="005C1B21">
        <w:rPr>
          <w:rFonts w:ascii="Arial" w:hAnsi="Arial" w:cs="Arial"/>
          <w:b/>
          <w:sz w:val="22"/>
          <w:lang w:val="es-ES"/>
        </w:rPr>
        <w:t>disponible en diferentes longitudes</w:t>
      </w:r>
      <w:r w:rsidRPr="005C1B21">
        <w:rPr>
          <w:rFonts w:ascii="Arial" w:hAnsi="Arial" w:cs="Arial"/>
          <w:sz w:val="22"/>
          <w:lang w:val="es-ES"/>
        </w:rPr>
        <w:tab/>
      </w:r>
      <w:r w:rsidRPr="005C1B21">
        <w:rPr>
          <w:rFonts w:ascii="Arial" w:hAnsi="Arial" w:cs="Arial"/>
          <w:sz w:val="22"/>
          <w:lang w:val="es-ES"/>
        </w:rPr>
        <w:br/>
        <w:t xml:space="preserve">El </w:t>
      </w:r>
      <w:r w:rsidRPr="005C1B21">
        <w:rPr>
          <w:rFonts w:ascii="Arial" w:eastAsia="Arial Unicode MS" w:hAnsi="Arial" w:cs="Arial"/>
          <w:sz w:val="22"/>
          <w:lang w:val="es-ES"/>
        </w:rPr>
        <w:t>tomas</w:t>
      </w:r>
      <w:r w:rsidRPr="005C1B21">
        <w:rPr>
          <w:rFonts w:ascii="Arial" w:eastAsia="Arial Unicode MS" w:hAnsi="Arial" w:cs="Arial"/>
          <w:sz w:val="22"/>
          <w:vertAlign w:val="superscript"/>
          <w:lang w:val="es-ES"/>
        </w:rPr>
        <w:t>®</w:t>
      </w:r>
      <w:r w:rsidRPr="005C1B21">
        <w:rPr>
          <w:rFonts w:ascii="Arial" w:eastAsia="Arial Unicode MS" w:hAnsi="Arial" w:cs="Arial"/>
          <w:sz w:val="22"/>
          <w:lang w:val="es-ES"/>
        </w:rPr>
        <w:t>-pin EP</w:t>
      </w:r>
      <w:r w:rsidRPr="005C1B21">
        <w:rPr>
          <w:rFonts w:ascii="Arial" w:hAnsi="Arial" w:cs="Arial"/>
          <w:sz w:val="22"/>
          <w:lang w:val="es-ES"/>
        </w:rPr>
        <w:t xml:space="preserve"> está disponible en 6, 8 y 10 mm, así como en una versión estéril y una no estéril. Gracias a la rosca autoperforante, ya no es necesario usar una perforación piloto. A veces se recomienda perforar la capa cortical antes de la inserción. Después de solo una media revolución, la punta del microtornillo penetra el hueso sin gran esfuerzo. </w:t>
      </w:r>
      <w:r w:rsidRPr="005C1B21">
        <w:rPr>
          <w:rFonts w:ascii="Arial" w:eastAsiaTheme="minorHAnsi" w:hAnsi="Arial" w:cs="Arial"/>
          <w:sz w:val="22"/>
          <w:lang w:val="es-ES"/>
        </w:rPr>
        <w:t xml:space="preserve">El cuello cónico probado, pulido mecánicamente, permite un ajuste ideal a la encía y evita así irritaciones de esta. Garantiza además una alta estabilidad primaria en el hueso. </w:t>
      </w:r>
    </w:p>
    <w:p w:rsidR="006D5EAD" w:rsidRPr="005C1B21" w:rsidRDefault="006D5EAD" w:rsidP="0058751C">
      <w:pPr>
        <w:spacing w:line="312" w:lineRule="auto"/>
        <w:jc w:val="both"/>
        <w:rPr>
          <w:rFonts w:ascii="Arial" w:hAnsi="Arial" w:cs="Arial"/>
          <w:lang w:val="es-ES"/>
        </w:rPr>
      </w:pPr>
    </w:p>
    <w:p w:rsidR="008F64B6" w:rsidRPr="005C1B21" w:rsidRDefault="008F64B6" w:rsidP="0058751C">
      <w:pPr>
        <w:spacing w:line="312" w:lineRule="auto"/>
        <w:jc w:val="both"/>
        <w:rPr>
          <w:rFonts w:ascii="Arial" w:hAnsi="Arial" w:cs="Arial"/>
          <w:sz w:val="22"/>
          <w:lang w:val="es-ES"/>
        </w:rPr>
      </w:pPr>
      <w:r w:rsidRPr="005C1B21">
        <w:rPr>
          <w:rFonts w:ascii="Arial" w:hAnsi="Arial" w:cs="Arial"/>
          <w:sz w:val="22"/>
          <w:lang w:val="es-ES"/>
        </w:rPr>
        <w:t>Ya sea distalización, mesialización, intrusión, disyunción palatina o anclaje indirecto: tomas</w:t>
      </w:r>
      <w:r w:rsidRPr="005C1B21">
        <w:rPr>
          <w:rFonts w:ascii="Arial" w:eastAsia="Arial Unicode MS" w:hAnsi="Arial" w:cs="Arial"/>
          <w:sz w:val="22"/>
          <w:vertAlign w:val="superscript"/>
          <w:lang w:val="es-ES"/>
        </w:rPr>
        <w:t>®</w:t>
      </w:r>
      <w:r w:rsidRPr="005C1B21">
        <w:rPr>
          <w:rFonts w:ascii="Arial" w:hAnsi="Arial" w:cs="Arial"/>
          <w:sz w:val="22"/>
          <w:lang w:val="es-ES"/>
        </w:rPr>
        <w:t xml:space="preserve"> es un verdadero sistema completo para todas las indicaciones. Tanto para los principiantes como para los expertos en el anclaje esquelético, no deja algo que desear.</w:t>
      </w:r>
    </w:p>
    <w:p w:rsidR="00F06BD7" w:rsidRPr="005C1B21" w:rsidRDefault="00F06BD7" w:rsidP="00F06BD7">
      <w:pPr>
        <w:rPr>
          <w:rFonts w:ascii="Arial" w:hAnsi="Arial" w:cs="Arial"/>
          <w:sz w:val="22"/>
          <w:szCs w:val="22"/>
          <w:lang w:val="es-ES"/>
        </w:rPr>
      </w:pPr>
    </w:p>
    <w:p w:rsidR="003D5F4B" w:rsidRPr="005C1B21" w:rsidRDefault="003D5F4B" w:rsidP="00F06BD7">
      <w:pPr>
        <w:rPr>
          <w:rFonts w:ascii="Arial" w:hAnsi="Arial" w:cs="Arial"/>
          <w:sz w:val="22"/>
          <w:szCs w:val="22"/>
          <w:lang w:val="es-ES"/>
        </w:rPr>
      </w:pPr>
    </w:p>
    <w:p w:rsidR="005C1B21" w:rsidRPr="001F4792" w:rsidRDefault="005C1B21" w:rsidP="005C1B21">
      <w:pPr>
        <w:spacing w:line="288" w:lineRule="auto"/>
        <w:jc w:val="both"/>
        <w:rPr>
          <w:rFonts w:ascii="Arial" w:hAnsi="Arial" w:cs="Arial"/>
          <w:b/>
          <w:sz w:val="22"/>
          <w:szCs w:val="22"/>
          <w:lang w:val="es-ES"/>
        </w:rPr>
      </w:pPr>
      <w:r w:rsidRPr="001F4792">
        <w:rPr>
          <w:rFonts w:ascii="Arial" w:hAnsi="Arial" w:cs="Arial"/>
          <w:b/>
          <w:sz w:val="22"/>
          <w:szCs w:val="22"/>
          <w:lang w:val="es-ES"/>
        </w:rPr>
        <w:t>Más informaciones:</w:t>
      </w:r>
    </w:p>
    <w:p w:rsidR="005C1B21" w:rsidRPr="00B75364" w:rsidRDefault="005C1B21" w:rsidP="005C1B21">
      <w:pPr>
        <w:tabs>
          <w:tab w:val="left" w:pos="2486"/>
        </w:tabs>
        <w:jc w:val="both"/>
        <w:rPr>
          <w:rFonts w:ascii="Arial" w:hAnsi="Arial" w:cs="Arial"/>
          <w:sz w:val="8"/>
          <w:szCs w:val="8"/>
          <w:lang w:val="es-ES"/>
        </w:rPr>
      </w:pPr>
    </w:p>
    <w:p w:rsidR="005C1B21" w:rsidRPr="001F4792" w:rsidRDefault="005C1B21" w:rsidP="005C1B21">
      <w:pPr>
        <w:tabs>
          <w:tab w:val="left" w:pos="2486"/>
        </w:tabs>
        <w:jc w:val="both"/>
        <w:rPr>
          <w:rFonts w:ascii="Arial" w:hAnsi="Arial" w:cs="Arial"/>
          <w:sz w:val="22"/>
          <w:szCs w:val="22"/>
          <w:lang w:val="es-ES"/>
        </w:rPr>
      </w:pPr>
      <w:r w:rsidRPr="001F4792">
        <w:rPr>
          <w:rFonts w:ascii="Arial" w:hAnsi="Arial" w:cs="Arial"/>
          <w:sz w:val="22"/>
          <w:szCs w:val="22"/>
          <w:lang w:val="es-ES"/>
        </w:rPr>
        <w:t xml:space="preserve">DENTAURUM </w:t>
      </w:r>
    </w:p>
    <w:p w:rsidR="005C1B21" w:rsidRPr="001F4792" w:rsidRDefault="005C1B21" w:rsidP="005C1B21">
      <w:pPr>
        <w:tabs>
          <w:tab w:val="left" w:pos="2486"/>
        </w:tabs>
        <w:jc w:val="both"/>
        <w:rPr>
          <w:rFonts w:ascii="Arial" w:hAnsi="Arial" w:cs="Arial"/>
          <w:sz w:val="22"/>
          <w:szCs w:val="22"/>
          <w:lang w:val="es-ES"/>
        </w:rPr>
      </w:pPr>
      <w:r w:rsidRPr="001F4792">
        <w:rPr>
          <w:rFonts w:ascii="Arial" w:hAnsi="Arial" w:cs="Arial"/>
          <w:sz w:val="22"/>
          <w:szCs w:val="22"/>
          <w:lang w:val="es-ES"/>
        </w:rPr>
        <w:t>GmbH &amp; Co. KG</w:t>
      </w:r>
    </w:p>
    <w:p w:rsidR="005C1B21" w:rsidRPr="001F4792" w:rsidRDefault="005C1B21" w:rsidP="005C1B21">
      <w:pPr>
        <w:jc w:val="both"/>
        <w:rPr>
          <w:rFonts w:ascii="Arial" w:hAnsi="Arial" w:cs="Arial"/>
          <w:sz w:val="22"/>
          <w:szCs w:val="22"/>
          <w:lang w:val="es-ES"/>
        </w:rPr>
      </w:pPr>
      <w:r w:rsidRPr="001F4792">
        <w:rPr>
          <w:rFonts w:ascii="Arial" w:hAnsi="Arial" w:cs="Arial"/>
          <w:sz w:val="22"/>
          <w:szCs w:val="22"/>
          <w:lang w:val="es-ES"/>
        </w:rPr>
        <w:t>Turnstr. 31, 75228 Ispringen</w:t>
      </w:r>
    </w:p>
    <w:p w:rsidR="005C1B21" w:rsidRPr="001F4792" w:rsidRDefault="005C1B21" w:rsidP="005C1B21">
      <w:pPr>
        <w:jc w:val="both"/>
        <w:rPr>
          <w:rFonts w:ascii="Arial" w:hAnsi="Arial" w:cs="Arial"/>
          <w:sz w:val="22"/>
          <w:szCs w:val="22"/>
          <w:lang w:val="es-ES"/>
        </w:rPr>
      </w:pPr>
      <w:r w:rsidRPr="001F4792">
        <w:rPr>
          <w:rFonts w:ascii="Arial" w:hAnsi="Arial" w:cs="Arial"/>
          <w:sz w:val="22"/>
          <w:szCs w:val="22"/>
          <w:lang w:val="es-ES"/>
        </w:rPr>
        <w:t>Tel.  +49 7231 / 803-0</w:t>
      </w:r>
    </w:p>
    <w:p w:rsidR="005C1B21" w:rsidRPr="001F4792" w:rsidRDefault="005C1B21" w:rsidP="005C1B21">
      <w:pPr>
        <w:jc w:val="both"/>
        <w:rPr>
          <w:rFonts w:ascii="Arial" w:hAnsi="Arial" w:cs="Arial"/>
          <w:sz w:val="22"/>
          <w:szCs w:val="22"/>
          <w:lang w:val="es-ES"/>
        </w:rPr>
      </w:pPr>
      <w:r w:rsidRPr="001F4792">
        <w:rPr>
          <w:rFonts w:ascii="Arial" w:hAnsi="Arial" w:cs="Arial"/>
          <w:sz w:val="22"/>
          <w:szCs w:val="22"/>
          <w:lang w:val="es-ES"/>
        </w:rPr>
        <w:t>Fax: +49 7231 / 803-295</w:t>
      </w:r>
    </w:p>
    <w:p w:rsidR="005C1B21" w:rsidRPr="001F4792" w:rsidRDefault="005C1B21" w:rsidP="005C1B21">
      <w:pPr>
        <w:jc w:val="both"/>
        <w:rPr>
          <w:rFonts w:ascii="Arial" w:hAnsi="Arial" w:cs="Arial"/>
          <w:sz w:val="22"/>
          <w:szCs w:val="22"/>
          <w:lang w:val="es-ES"/>
        </w:rPr>
      </w:pPr>
      <w:r w:rsidRPr="001F4792">
        <w:rPr>
          <w:rFonts w:ascii="Arial" w:hAnsi="Arial" w:cs="Arial"/>
          <w:sz w:val="22"/>
          <w:szCs w:val="22"/>
          <w:lang w:val="es-ES"/>
        </w:rPr>
        <w:t xml:space="preserve">Correo electrónico: </w:t>
      </w:r>
      <w:hyperlink r:id="rId7" w:history="1">
        <w:r w:rsidRPr="00AF4F3C">
          <w:rPr>
            <w:rStyle w:val="Hyperlink"/>
            <w:rFonts w:ascii="Arial" w:hAnsi="Arial" w:cs="Arial"/>
            <w:sz w:val="22"/>
            <w:szCs w:val="22"/>
            <w:lang w:val="es-ES"/>
          </w:rPr>
          <w:t>info@dentaurum.com</w:t>
        </w:r>
      </w:hyperlink>
      <w:r>
        <w:rPr>
          <w:rFonts w:ascii="Arial" w:hAnsi="Arial" w:cs="Arial"/>
          <w:sz w:val="22"/>
          <w:szCs w:val="22"/>
          <w:lang w:val="es-ES"/>
        </w:rPr>
        <w:t xml:space="preserve"> </w:t>
      </w:r>
    </w:p>
    <w:p w:rsidR="005C1B21" w:rsidRPr="001F4792" w:rsidRDefault="005C1B21" w:rsidP="005C1B21">
      <w:pPr>
        <w:jc w:val="both"/>
        <w:rPr>
          <w:rFonts w:ascii="Arial" w:hAnsi="Arial" w:cs="Arial"/>
          <w:sz w:val="22"/>
          <w:szCs w:val="22"/>
          <w:lang w:val="es-ES"/>
        </w:rPr>
      </w:pPr>
      <w:r w:rsidRPr="001F4792">
        <w:rPr>
          <w:rFonts w:ascii="Arial" w:hAnsi="Arial" w:cs="Arial"/>
          <w:sz w:val="22"/>
          <w:szCs w:val="22"/>
          <w:lang w:val="es-ES"/>
        </w:rPr>
        <w:t>Web: www.dentaurum.com</w:t>
      </w:r>
    </w:p>
    <w:p w:rsidR="00CE2F80" w:rsidRDefault="00CE2F80" w:rsidP="00F06BD7">
      <w:pPr>
        <w:jc w:val="both"/>
        <w:rPr>
          <w:rFonts w:ascii="Arial" w:hAnsi="Arial" w:cs="Arial"/>
        </w:rPr>
      </w:pPr>
    </w:p>
    <w:p w:rsidR="00CE2F80" w:rsidRDefault="00CE2F80" w:rsidP="00F06BD7">
      <w:pPr>
        <w:jc w:val="both"/>
        <w:rPr>
          <w:rFonts w:ascii="Arial" w:hAnsi="Arial" w:cs="Arial"/>
        </w:rPr>
      </w:pPr>
    </w:p>
    <w:sectPr w:rsidR="00CE2F80" w:rsidSect="005C1B21">
      <w:headerReference w:type="default" r:id="rId8"/>
      <w:footerReference w:type="default" r:id="rId9"/>
      <w:pgSz w:w="11906" w:h="16838" w:code="9"/>
      <w:pgMar w:top="1985" w:right="1418" w:bottom="1135" w:left="1418" w:header="567"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38F" w:rsidRDefault="0028338F">
      <w:r>
        <w:separator/>
      </w:r>
    </w:p>
  </w:endnote>
  <w:endnote w:type="continuationSeparator" w:id="0">
    <w:p w:rsidR="0028338F" w:rsidRDefault="002833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LTStd-LightC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B21" w:rsidRDefault="005C1B21" w:rsidP="005C1B21">
    <w:pPr>
      <w:pStyle w:val="Fuzeile"/>
      <w:ind w:right="-2"/>
      <w:rPr>
        <w:rFonts w:ascii="Arial" w:hAnsi="Arial"/>
        <w:sz w:val="10"/>
      </w:rPr>
    </w:pPr>
  </w:p>
  <w:p w:rsidR="005C1B21" w:rsidRDefault="005C1B21" w:rsidP="005C1B21">
    <w:pPr>
      <w:pStyle w:val="Fuzeile"/>
      <w:ind w:right="-2"/>
      <w:rPr>
        <w:rFonts w:ascii="Arial" w:hAnsi="Arial"/>
        <w:sz w:val="10"/>
      </w:rPr>
    </w:pPr>
  </w:p>
  <w:tbl>
    <w:tblPr>
      <w:tblW w:w="0" w:type="auto"/>
      <w:tblInd w:w="-781" w:type="dxa"/>
      <w:tblLayout w:type="fixed"/>
      <w:tblCellMar>
        <w:left w:w="70" w:type="dxa"/>
        <w:right w:w="70" w:type="dxa"/>
      </w:tblCellMar>
      <w:tblLook w:val="0000"/>
    </w:tblPr>
    <w:tblGrid>
      <w:gridCol w:w="1135"/>
      <w:gridCol w:w="8505"/>
    </w:tblGrid>
    <w:tr w:rsidR="005C1B21" w:rsidRPr="00226F2E" w:rsidTr="00521ED6">
      <w:tc>
        <w:tcPr>
          <w:tcW w:w="1135" w:type="dxa"/>
          <w:vAlign w:val="bottom"/>
        </w:tcPr>
        <w:p w:rsidR="005C1B21" w:rsidRDefault="005C1B21" w:rsidP="00521ED6">
          <w:pPr>
            <w:pStyle w:val="Fuzeile"/>
            <w:rPr>
              <w:rFonts w:ascii="Arial" w:hAnsi="Arial"/>
              <w:sz w:val="10"/>
            </w:rPr>
          </w:pPr>
          <w:r>
            <w:rPr>
              <w:rFonts w:ascii="Arial" w:hAnsi="Arial"/>
              <w:noProof/>
              <w:sz w:val="10"/>
            </w:rPr>
            <w:drawing>
              <wp:inline distT="0" distB="0" distL="0" distR="0">
                <wp:extent cx="631825" cy="372745"/>
                <wp:effectExtent l="19050" t="0" r="0" b="0"/>
                <wp:docPr id="3" name="Grafik 1" descr="VDDI_LogoNEU_sw_RZ.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DDI_LogoNEU_sw_RZ.eps"/>
                        <pic:cNvPicPr/>
                      </pic:nvPicPr>
                      <pic:blipFill>
                        <a:blip r:embed="rId1"/>
                        <a:stretch>
                          <a:fillRect/>
                        </a:stretch>
                      </pic:blipFill>
                      <pic:spPr>
                        <a:xfrm>
                          <a:off x="0" y="0"/>
                          <a:ext cx="631825" cy="372745"/>
                        </a:xfrm>
                        <a:prstGeom prst="rect">
                          <a:avLst/>
                        </a:prstGeom>
                      </pic:spPr>
                    </pic:pic>
                  </a:graphicData>
                </a:graphic>
              </wp:inline>
            </w:drawing>
          </w:r>
        </w:p>
      </w:tc>
      <w:tc>
        <w:tcPr>
          <w:tcW w:w="8505" w:type="dxa"/>
          <w:vAlign w:val="bottom"/>
        </w:tcPr>
        <w:p w:rsidR="005C1B21" w:rsidRPr="007A659F" w:rsidRDefault="005C1B21" w:rsidP="00521ED6">
          <w:pPr>
            <w:jc w:val="both"/>
            <w:rPr>
              <w:rFonts w:asciiTheme="minorHAnsi" w:hAnsiTheme="minorHAnsi"/>
              <w:sz w:val="12"/>
            </w:rPr>
          </w:pPr>
          <w:r>
            <w:rPr>
              <w:rFonts w:asciiTheme="minorHAnsi" w:hAnsiTheme="minorHAnsi"/>
              <w:sz w:val="12"/>
            </w:rPr>
            <w:t>Dentaurum GmbH &amp; Co. KG · Postadresse : Postfach 10 04 40 · 75104 Pforzheim · Germany · Firmensitz : Turnstraße 31 · 75228 Ispringen · Germany</w:t>
          </w:r>
          <w:r>
            <w:rPr>
              <w:rFonts w:asciiTheme="minorHAnsi" w:hAnsiTheme="minorHAnsi"/>
              <w:sz w:val="12"/>
            </w:rPr>
            <w:br/>
            <w:t>Telefon + 49 72 31 / 803 - 0 · Fax + 49 72 31 / 803 - 295 · www.dentaurum.de · info@dentaurum.de · Handelsregister Amtsgericht Mannheim HRA 500957</w:t>
          </w:r>
          <w:r>
            <w:rPr>
              <w:rFonts w:asciiTheme="minorHAnsi" w:hAnsiTheme="minorHAnsi"/>
              <w:sz w:val="12"/>
            </w:rPr>
            <w:br/>
            <w:t>Persönlich haftende Gesellschafterin: Winkelstroeter &amp; Pace Verwaltungs-GmbH · Handelsregister Amtsgericht Mannheim HRB 708327</w:t>
          </w:r>
          <w:r>
            <w:rPr>
              <w:rFonts w:asciiTheme="minorHAnsi" w:hAnsiTheme="minorHAnsi"/>
              <w:sz w:val="12"/>
            </w:rPr>
            <w:br/>
            <w:t>Geschäftsführer: Mark Stephen Pace, Axel Winkelstroeter · Baden-Württembergische Bank Pforzheim (BLZ 600 501 01) 749 850 0335</w:t>
          </w:r>
          <w:r>
            <w:rPr>
              <w:rFonts w:asciiTheme="minorHAnsi" w:hAnsiTheme="minorHAnsi"/>
              <w:sz w:val="12"/>
            </w:rPr>
            <w:br/>
          </w:r>
          <w:r>
            <w:rPr>
              <w:rFonts w:asciiTheme="minorHAnsi" w:hAnsiTheme="minorHAnsi"/>
              <w:snapToGrid w:val="0"/>
              <w:sz w:val="12"/>
            </w:rPr>
            <w:t>IBAN DE13 6005 0101 7498 5003 35 BIC: SOLA DE ST · Deutsche Bank Pforzheim (BLZ 666 700 06) 05 04 217 IBAN DE89 6667 0006 0050 4217 00</w:t>
          </w:r>
          <w:r>
            <w:rPr>
              <w:rFonts w:asciiTheme="minorHAnsi" w:hAnsiTheme="minorHAnsi"/>
              <w:snapToGrid w:val="0"/>
              <w:sz w:val="12"/>
            </w:rPr>
            <w:br/>
            <w:t>BIC: DEUT DE SM 666 · Sparkasse Pforzheim Calw (BLZ 666 500 85) 899 011 IBAN DE91 6665 0085 0000 8990 11 BIC: PZHS DE 66</w:t>
          </w:r>
        </w:p>
      </w:tc>
    </w:tr>
  </w:tbl>
  <w:p w:rsidR="005C1B21" w:rsidRPr="00226F2E" w:rsidRDefault="005C1B21" w:rsidP="005C1B21">
    <w:pPr>
      <w:pStyle w:val="Fuzeile"/>
      <w:rPr>
        <w:rFonts w:ascii="Arial" w:hAnsi="Arial"/>
        <w:sz w:val="10"/>
      </w:rPr>
    </w:pPr>
  </w:p>
  <w:p w:rsidR="00DD7874" w:rsidRPr="00226F2E" w:rsidRDefault="00DD7874">
    <w:pPr>
      <w:pStyle w:val="Fuzeile"/>
      <w:rPr>
        <w:rFonts w:ascii="Arial" w:hAnsi="Arial"/>
        <w:sz w:val="10"/>
      </w:rPr>
    </w:pPr>
  </w:p>
  <w:p w:rsidR="00DD7874" w:rsidRPr="00226F2E" w:rsidRDefault="00DD7874">
    <w:pPr>
      <w:pStyle w:val="Fuzeile"/>
      <w:rPr>
        <w:rFonts w:ascii="Arial" w:hAnsi="Arial"/>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38F" w:rsidRDefault="0028338F">
      <w:r>
        <w:separator/>
      </w:r>
    </w:p>
  </w:footnote>
  <w:footnote w:type="continuationSeparator" w:id="0">
    <w:p w:rsidR="0028338F" w:rsidRDefault="002833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874" w:rsidRDefault="00D41BA9">
    <w:pPr>
      <w:pStyle w:val="Kopfzeile"/>
      <w:tabs>
        <w:tab w:val="clear" w:pos="9072"/>
        <w:tab w:val="right" w:pos="9781"/>
      </w:tabs>
      <w:ind w:right="-569"/>
      <w:jc w:val="right"/>
    </w:pPr>
    <w:r>
      <w:rPr>
        <w:noProof/>
      </w:rPr>
      <w:pict>
        <v:line id="_x0000_s2049" style="position:absolute;left:0;text-align:left;flip:x;z-index:251657728" from="-107.2pt,29.55pt" to="339.2pt,29.55pt" o:allowincell="f" strokecolor="#0069b3"/>
      </w:pict>
    </w:r>
    <w:r w:rsidR="00DD7874">
      <w:rPr>
        <w:noProof/>
      </w:rPr>
      <w:drawing>
        <wp:inline distT="0" distB="0" distL="0" distR="0">
          <wp:extent cx="1727200" cy="419100"/>
          <wp:effectExtent l="19050" t="0" r="6350" b="0"/>
          <wp:docPr id="1" name="Bild 1" descr="\\dds08\public\vorlagen\dentau_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s08\public\vorlagen\dentau_med.jpg"/>
                  <pic:cNvPicPr>
                    <a:picLocks noChangeAspect="1" noChangeArrowheads="1"/>
                  </pic:cNvPicPr>
                </pic:nvPicPr>
                <pic:blipFill>
                  <a:blip r:embed="rId1"/>
                  <a:srcRect/>
                  <a:stretch>
                    <a:fillRect/>
                  </a:stretch>
                </pic:blipFill>
                <pic:spPr bwMode="auto">
                  <a:xfrm>
                    <a:off x="0" y="0"/>
                    <a:ext cx="1727200" cy="4191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D937EF"/>
    <w:multiLevelType w:val="hybridMultilevel"/>
    <w:tmpl w:val="5B542494"/>
    <w:lvl w:ilvl="0" w:tplc="AC7A627A">
      <w:start w:val="1"/>
      <w:numFmt w:val="decimal"/>
      <w:lvlText w:val="%1."/>
      <w:lvlJc w:val="left"/>
      <w:pPr>
        <w:ind w:left="720" w:hanging="360"/>
      </w:pPr>
      <w:rPr>
        <w:rFonts w:cs="Arial"/>
        <w:b w:val="0"/>
        <w:strike w:val="0"/>
        <w:dstrike w:val="0"/>
        <w:color w:val="000000"/>
        <w:sz w:val="18"/>
        <w:u w:val="none"/>
        <w:effect w:val="none"/>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
    <w:nsid w:val="3F5D19F2"/>
    <w:multiLevelType w:val="hybridMultilevel"/>
    <w:tmpl w:val="57444C68"/>
    <w:lvl w:ilvl="0" w:tplc="A7366710">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0069b3"/>
    </o:shapedefaults>
    <o:shapelayout v:ext="edit">
      <o:idmap v:ext="edit" data="2"/>
    </o:shapelayout>
  </w:hdrShapeDefaults>
  <w:footnotePr>
    <w:footnote w:id="-1"/>
    <w:footnote w:id="0"/>
  </w:footnotePr>
  <w:endnotePr>
    <w:endnote w:id="-1"/>
    <w:endnote w:id="0"/>
  </w:endnotePr>
  <w:compat/>
  <w:rsids>
    <w:rsidRoot w:val="00146BF1"/>
    <w:rsid w:val="000323A9"/>
    <w:rsid w:val="00034A17"/>
    <w:rsid w:val="0005673E"/>
    <w:rsid w:val="00094EFC"/>
    <w:rsid w:val="000C41EE"/>
    <w:rsid w:val="000D623E"/>
    <w:rsid w:val="00146BF1"/>
    <w:rsid w:val="001602A7"/>
    <w:rsid w:val="001A1872"/>
    <w:rsid w:val="001B56DF"/>
    <w:rsid w:val="001C177C"/>
    <w:rsid w:val="001C613A"/>
    <w:rsid w:val="001F130D"/>
    <w:rsid w:val="002175C0"/>
    <w:rsid w:val="00226F2E"/>
    <w:rsid w:val="00230FF4"/>
    <w:rsid w:val="002445D6"/>
    <w:rsid w:val="00250799"/>
    <w:rsid w:val="002564D1"/>
    <w:rsid w:val="00264111"/>
    <w:rsid w:val="0028338F"/>
    <w:rsid w:val="002F5C0D"/>
    <w:rsid w:val="00312C31"/>
    <w:rsid w:val="00315C53"/>
    <w:rsid w:val="003162AE"/>
    <w:rsid w:val="0033195E"/>
    <w:rsid w:val="0033774C"/>
    <w:rsid w:val="00357961"/>
    <w:rsid w:val="00371614"/>
    <w:rsid w:val="00385A29"/>
    <w:rsid w:val="003B0C2F"/>
    <w:rsid w:val="003C2125"/>
    <w:rsid w:val="003C305D"/>
    <w:rsid w:val="003C43F4"/>
    <w:rsid w:val="003D5F4B"/>
    <w:rsid w:val="00410406"/>
    <w:rsid w:val="00412DD0"/>
    <w:rsid w:val="00415823"/>
    <w:rsid w:val="00423C85"/>
    <w:rsid w:val="004410A4"/>
    <w:rsid w:val="004426A5"/>
    <w:rsid w:val="00454AE9"/>
    <w:rsid w:val="00456F33"/>
    <w:rsid w:val="0045770D"/>
    <w:rsid w:val="004843FD"/>
    <w:rsid w:val="00490E7B"/>
    <w:rsid w:val="00491034"/>
    <w:rsid w:val="004D042C"/>
    <w:rsid w:val="004D47D2"/>
    <w:rsid w:val="00531F7B"/>
    <w:rsid w:val="00537F12"/>
    <w:rsid w:val="00541873"/>
    <w:rsid w:val="005537C9"/>
    <w:rsid w:val="005742FB"/>
    <w:rsid w:val="0058751C"/>
    <w:rsid w:val="005B337F"/>
    <w:rsid w:val="005C0117"/>
    <w:rsid w:val="005C1B21"/>
    <w:rsid w:val="005C5BEA"/>
    <w:rsid w:val="005C5D5C"/>
    <w:rsid w:val="005E103E"/>
    <w:rsid w:val="005E3056"/>
    <w:rsid w:val="00623D61"/>
    <w:rsid w:val="006256F9"/>
    <w:rsid w:val="006342C4"/>
    <w:rsid w:val="00653AC2"/>
    <w:rsid w:val="0066798A"/>
    <w:rsid w:val="00670EC6"/>
    <w:rsid w:val="006C5CAC"/>
    <w:rsid w:val="006D5EAD"/>
    <w:rsid w:val="00702DDA"/>
    <w:rsid w:val="00704F73"/>
    <w:rsid w:val="00712168"/>
    <w:rsid w:val="00734850"/>
    <w:rsid w:val="00734B6B"/>
    <w:rsid w:val="00777131"/>
    <w:rsid w:val="00782FD1"/>
    <w:rsid w:val="007A1D09"/>
    <w:rsid w:val="007A5B0D"/>
    <w:rsid w:val="007A659F"/>
    <w:rsid w:val="007D2726"/>
    <w:rsid w:val="007E0FDA"/>
    <w:rsid w:val="00815CD0"/>
    <w:rsid w:val="0081760F"/>
    <w:rsid w:val="0082408B"/>
    <w:rsid w:val="008305DD"/>
    <w:rsid w:val="00832522"/>
    <w:rsid w:val="00834639"/>
    <w:rsid w:val="0083574A"/>
    <w:rsid w:val="0083765A"/>
    <w:rsid w:val="0084292D"/>
    <w:rsid w:val="00843BE9"/>
    <w:rsid w:val="00853F8F"/>
    <w:rsid w:val="00854E9C"/>
    <w:rsid w:val="00877AAE"/>
    <w:rsid w:val="00883475"/>
    <w:rsid w:val="008924FB"/>
    <w:rsid w:val="00893E62"/>
    <w:rsid w:val="008970A4"/>
    <w:rsid w:val="008A6CA8"/>
    <w:rsid w:val="008C54AA"/>
    <w:rsid w:val="008D36DC"/>
    <w:rsid w:val="008F64B6"/>
    <w:rsid w:val="00930621"/>
    <w:rsid w:val="00935CA8"/>
    <w:rsid w:val="0094714B"/>
    <w:rsid w:val="009477C8"/>
    <w:rsid w:val="009746C8"/>
    <w:rsid w:val="00983D55"/>
    <w:rsid w:val="00984EC6"/>
    <w:rsid w:val="009966FD"/>
    <w:rsid w:val="009A6699"/>
    <w:rsid w:val="009B0911"/>
    <w:rsid w:val="009E6A04"/>
    <w:rsid w:val="00A05F78"/>
    <w:rsid w:val="00A10F38"/>
    <w:rsid w:val="00A34946"/>
    <w:rsid w:val="00A427A3"/>
    <w:rsid w:val="00AC7B0A"/>
    <w:rsid w:val="00AF7B1A"/>
    <w:rsid w:val="00B04BEC"/>
    <w:rsid w:val="00B05486"/>
    <w:rsid w:val="00B1038A"/>
    <w:rsid w:val="00B47656"/>
    <w:rsid w:val="00B7463E"/>
    <w:rsid w:val="00B761AC"/>
    <w:rsid w:val="00B94805"/>
    <w:rsid w:val="00B95C38"/>
    <w:rsid w:val="00BA1BAA"/>
    <w:rsid w:val="00BA7B38"/>
    <w:rsid w:val="00BC73D1"/>
    <w:rsid w:val="00BC7B08"/>
    <w:rsid w:val="00BE20D3"/>
    <w:rsid w:val="00BE3886"/>
    <w:rsid w:val="00C020E6"/>
    <w:rsid w:val="00C06B44"/>
    <w:rsid w:val="00C33A6F"/>
    <w:rsid w:val="00C948BA"/>
    <w:rsid w:val="00CA248F"/>
    <w:rsid w:val="00CC2C32"/>
    <w:rsid w:val="00CC3D83"/>
    <w:rsid w:val="00CD36C3"/>
    <w:rsid w:val="00CE2F80"/>
    <w:rsid w:val="00D1379B"/>
    <w:rsid w:val="00D16820"/>
    <w:rsid w:val="00D2465C"/>
    <w:rsid w:val="00D41BA9"/>
    <w:rsid w:val="00D5578B"/>
    <w:rsid w:val="00DB6290"/>
    <w:rsid w:val="00DD7874"/>
    <w:rsid w:val="00E129C9"/>
    <w:rsid w:val="00E146F0"/>
    <w:rsid w:val="00E30056"/>
    <w:rsid w:val="00E36EA3"/>
    <w:rsid w:val="00E85878"/>
    <w:rsid w:val="00E85A07"/>
    <w:rsid w:val="00EC6A27"/>
    <w:rsid w:val="00ED175C"/>
    <w:rsid w:val="00EF0B66"/>
    <w:rsid w:val="00F01537"/>
    <w:rsid w:val="00F06BD7"/>
    <w:rsid w:val="00F24374"/>
    <w:rsid w:val="00F322D2"/>
    <w:rsid w:val="00F4262B"/>
    <w:rsid w:val="00F725D2"/>
    <w:rsid w:val="00F83D56"/>
    <w:rsid w:val="00FE34F7"/>
    <w:rsid w:val="00FF523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69b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06BD7"/>
  </w:style>
  <w:style w:type="paragraph" w:styleId="berschrift2">
    <w:name w:val="heading 2"/>
    <w:basedOn w:val="Standard"/>
    <w:next w:val="Standard"/>
    <w:link w:val="berschrift2Zchn"/>
    <w:qFormat/>
    <w:rsid w:val="000C41EE"/>
    <w:pPr>
      <w:keepNext/>
      <w:outlineLvl w:val="1"/>
    </w:pPr>
    <w:rPr>
      <w:rFonts w:ascii="Arial" w:hAnsi="Arial"/>
      <w:b/>
      <w:sz w:val="28"/>
    </w:rPr>
  </w:style>
  <w:style w:type="paragraph" w:styleId="berschrift3">
    <w:name w:val="heading 3"/>
    <w:basedOn w:val="Standard"/>
    <w:next w:val="Standard"/>
    <w:link w:val="berschrift3Zchn"/>
    <w:qFormat/>
    <w:rsid w:val="000C41EE"/>
    <w:pPr>
      <w:keepNext/>
      <w:outlineLvl w:val="2"/>
    </w:pPr>
    <w:rPr>
      <w:rFonts w:ascii="Arial" w:hAnsi="Arial"/>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8D36DC"/>
    <w:pPr>
      <w:tabs>
        <w:tab w:val="center" w:pos="4536"/>
        <w:tab w:val="right" w:pos="9072"/>
      </w:tabs>
    </w:pPr>
  </w:style>
  <w:style w:type="paragraph" w:styleId="Fuzeile">
    <w:name w:val="footer"/>
    <w:basedOn w:val="Standard"/>
    <w:semiHidden/>
    <w:rsid w:val="008D36DC"/>
    <w:pPr>
      <w:tabs>
        <w:tab w:val="center" w:pos="4536"/>
        <w:tab w:val="right" w:pos="9072"/>
      </w:tabs>
    </w:pPr>
  </w:style>
  <w:style w:type="character" w:styleId="Hyperlink">
    <w:name w:val="Hyperlink"/>
    <w:basedOn w:val="Absatz-Standardschriftart"/>
    <w:semiHidden/>
    <w:rsid w:val="008D36DC"/>
    <w:rPr>
      <w:color w:val="0000FF"/>
      <w:u w:val="single"/>
    </w:rPr>
  </w:style>
  <w:style w:type="character" w:styleId="BesuchterHyperlink">
    <w:name w:val="FollowedHyperlink"/>
    <w:basedOn w:val="Absatz-Standardschriftart"/>
    <w:semiHidden/>
    <w:rsid w:val="008D36DC"/>
    <w:rPr>
      <w:color w:val="800080"/>
      <w:u w:val="single"/>
    </w:rPr>
  </w:style>
  <w:style w:type="paragraph" w:styleId="Textkrper">
    <w:name w:val="Body Text"/>
    <w:basedOn w:val="Standard"/>
    <w:link w:val="TextkrperZchn"/>
    <w:semiHidden/>
    <w:rsid w:val="008D36DC"/>
    <w:rPr>
      <w:rFonts w:ascii="FrutigerLTStd-LightCn" w:hAnsi="FrutigerLTStd-LightCn"/>
      <w:snapToGrid w:val="0"/>
      <w:sz w:val="16"/>
    </w:rPr>
  </w:style>
  <w:style w:type="paragraph" w:styleId="Sprechblasentext">
    <w:name w:val="Balloon Text"/>
    <w:basedOn w:val="Standard"/>
    <w:link w:val="SprechblasentextZchn"/>
    <w:uiPriority w:val="99"/>
    <w:semiHidden/>
    <w:unhideWhenUsed/>
    <w:rsid w:val="002175C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175C0"/>
    <w:rPr>
      <w:rFonts w:ascii="Tahoma" w:hAnsi="Tahoma" w:cs="Tahoma"/>
      <w:sz w:val="16"/>
      <w:szCs w:val="16"/>
    </w:rPr>
  </w:style>
  <w:style w:type="character" w:customStyle="1" w:styleId="berschrift2Zchn">
    <w:name w:val="Überschrift 2 Zchn"/>
    <w:basedOn w:val="Absatz-Standardschriftart"/>
    <w:link w:val="berschrift2"/>
    <w:rsid w:val="000C41EE"/>
    <w:rPr>
      <w:rFonts w:ascii="Arial" w:hAnsi="Arial"/>
      <w:b/>
      <w:sz w:val="28"/>
    </w:rPr>
  </w:style>
  <w:style w:type="character" w:customStyle="1" w:styleId="berschrift3Zchn">
    <w:name w:val="Überschrift 3 Zchn"/>
    <w:basedOn w:val="Absatz-Standardschriftart"/>
    <w:link w:val="berschrift3"/>
    <w:rsid w:val="000C41EE"/>
    <w:rPr>
      <w:rFonts w:ascii="Arial" w:hAnsi="Arial"/>
      <w:b/>
      <w:i/>
    </w:rPr>
  </w:style>
  <w:style w:type="paragraph" w:styleId="Textkrper2">
    <w:name w:val="Body Text 2"/>
    <w:basedOn w:val="Standard"/>
    <w:link w:val="Textkrper2Zchn"/>
    <w:semiHidden/>
    <w:rsid w:val="000C41EE"/>
    <w:pPr>
      <w:spacing w:line="360" w:lineRule="auto"/>
      <w:jc w:val="both"/>
    </w:pPr>
    <w:rPr>
      <w:rFonts w:ascii="Arial" w:hAnsi="Arial"/>
      <w:sz w:val="22"/>
    </w:rPr>
  </w:style>
  <w:style w:type="character" w:customStyle="1" w:styleId="Textkrper2Zchn">
    <w:name w:val="Textkörper 2 Zchn"/>
    <w:basedOn w:val="Absatz-Standardschriftart"/>
    <w:link w:val="Textkrper2"/>
    <w:semiHidden/>
    <w:rsid w:val="000C41EE"/>
    <w:rPr>
      <w:rFonts w:ascii="Arial" w:hAnsi="Arial"/>
      <w:sz w:val="22"/>
    </w:rPr>
  </w:style>
  <w:style w:type="paragraph" w:styleId="Textkrper3">
    <w:name w:val="Body Text 3"/>
    <w:basedOn w:val="Standard"/>
    <w:link w:val="Textkrper3Zchn"/>
    <w:semiHidden/>
    <w:rsid w:val="000C41EE"/>
    <w:pPr>
      <w:jc w:val="both"/>
    </w:pPr>
    <w:rPr>
      <w:rFonts w:ascii="Verdana" w:hAnsi="Verdana"/>
      <w:sz w:val="22"/>
    </w:rPr>
  </w:style>
  <w:style w:type="character" w:customStyle="1" w:styleId="Textkrper3Zchn">
    <w:name w:val="Textkörper 3 Zchn"/>
    <w:basedOn w:val="Absatz-Standardschriftart"/>
    <w:link w:val="Textkrper3"/>
    <w:semiHidden/>
    <w:rsid w:val="000C41EE"/>
    <w:rPr>
      <w:rFonts w:ascii="Verdana" w:hAnsi="Verdana"/>
      <w:sz w:val="22"/>
    </w:rPr>
  </w:style>
  <w:style w:type="character" w:customStyle="1" w:styleId="TextkrperZchn">
    <w:name w:val="Textkörper Zchn"/>
    <w:basedOn w:val="Absatz-Standardschriftart"/>
    <w:link w:val="Textkrper"/>
    <w:semiHidden/>
    <w:rsid w:val="000C41EE"/>
    <w:rPr>
      <w:rFonts w:ascii="FrutigerLTStd-LightCn" w:hAnsi="FrutigerLTStd-LightCn"/>
      <w:snapToGrid w:val="0"/>
      <w:sz w:val="16"/>
    </w:rPr>
  </w:style>
  <w:style w:type="paragraph" w:styleId="Listenabsatz">
    <w:name w:val="List Paragraph"/>
    <w:basedOn w:val="Standard"/>
    <w:uiPriority w:val="34"/>
    <w:qFormat/>
    <w:rsid w:val="009477C8"/>
    <w:pPr>
      <w:ind w:left="720"/>
      <w:contextualSpacing/>
    </w:pPr>
    <w:rPr>
      <w:rFonts w:ascii="Arial" w:hAnsi="Arial"/>
    </w:rPr>
  </w:style>
  <w:style w:type="paragraph" w:styleId="StandardWeb">
    <w:name w:val="Normal (Web)"/>
    <w:basedOn w:val="Standard"/>
    <w:uiPriority w:val="99"/>
    <w:semiHidden/>
    <w:unhideWhenUsed/>
    <w:rsid w:val="0033774C"/>
    <w:pPr>
      <w:spacing w:before="100" w:beforeAutospacing="1" w:after="100" w:afterAutospacing="1"/>
    </w:pPr>
    <w:rPr>
      <w:sz w:val="24"/>
      <w:szCs w:val="24"/>
    </w:rPr>
  </w:style>
  <w:style w:type="character" w:styleId="Fett">
    <w:name w:val="Strong"/>
    <w:basedOn w:val="Absatz-Standardschriftart"/>
    <w:uiPriority w:val="22"/>
    <w:qFormat/>
    <w:rsid w:val="0033774C"/>
    <w:rPr>
      <w:b/>
      <w:bCs/>
      <w:i w:val="0"/>
      <w:iCs w:val="0"/>
    </w:rPr>
  </w:style>
  <w:style w:type="table" w:styleId="Tabellengitternetz">
    <w:name w:val="Table Grid"/>
    <w:basedOn w:val="NormaleTabelle"/>
    <w:uiPriority w:val="59"/>
    <w:rsid w:val="00CE2F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8157967">
      <w:bodyDiv w:val="1"/>
      <w:marLeft w:val="0"/>
      <w:marRight w:val="0"/>
      <w:marTop w:val="0"/>
      <w:marBottom w:val="0"/>
      <w:divBdr>
        <w:top w:val="none" w:sz="0" w:space="0" w:color="auto"/>
        <w:left w:val="none" w:sz="0" w:space="0" w:color="auto"/>
        <w:bottom w:val="none" w:sz="0" w:space="0" w:color="auto"/>
        <w:right w:val="none" w:sz="0" w:space="0" w:color="auto"/>
      </w:divBdr>
    </w:div>
    <w:div w:id="1124422681">
      <w:bodyDiv w:val="1"/>
      <w:marLeft w:val="0"/>
      <w:marRight w:val="0"/>
      <w:marTop w:val="0"/>
      <w:marBottom w:val="0"/>
      <w:divBdr>
        <w:top w:val="none" w:sz="0" w:space="0" w:color="auto"/>
        <w:left w:val="none" w:sz="0" w:space="0" w:color="auto"/>
        <w:bottom w:val="none" w:sz="0" w:space="0" w:color="auto"/>
        <w:right w:val="none" w:sz="0" w:space="0" w:color="auto"/>
      </w:divBdr>
    </w:div>
    <w:div w:id="1165587685">
      <w:bodyDiv w:val="1"/>
      <w:marLeft w:val="0"/>
      <w:marRight w:val="0"/>
      <w:marTop w:val="0"/>
      <w:marBottom w:val="0"/>
      <w:divBdr>
        <w:top w:val="none" w:sz="0" w:space="0" w:color="auto"/>
        <w:left w:val="none" w:sz="0" w:space="0" w:color="auto"/>
        <w:bottom w:val="none" w:sz="0" w:space="0" w:color="auto"/>
        <w:right w:val="none" w:sz="0" w:space="0" w:color="auto"/>
      </w:divBdr>
      <w:divsChild>
        <w:div w:id="666900830">
          <w:marLeft w:val="0"/>
          <w:marRight w:val="0"/>
          <w:marTop w:val="0"/>
          <w:marBottom w:val="0"/>
          <w:divBdr>
            <w:top w:val="single" w:sz="4" w:space="0" w:color="000000"/>
            <w:left w:val="single" w:sz="4" w:space="0" w:color="000000"/>
            <w:bottom w:val="single" w:sz="4" w:space="0" w:color="000000"/>
            <w:right w:val="single" w:sz="4" w:space="0" w:color="000000"/>
          </w:divBdr>
          <w:divsChild>
            <w:div w:id="297148873">
              <w:marLeft w:val="0"/>
              <w:marRight w:val="0"/>
              <w:marTop w:val="0"/>
              <w:marBottom w:val="0"/>
              <w:divBdr>
                <w:top w:val="none" w:sz="0" w:space="0" w:color="auto"/>
                <w:left w:val="none" w:sz="0" w:space="0" w:color="auto"/>
                <w:bottom w:val="none" w:sz="0" w:space="0" w:color="auto"/>
                <w:right w:val="none" w:sz="0" w:space="0" w:color="auto"/>
              </w:divBdr>
              <w:divsChild>
                <w:div w:id="1378243280">
                  <w:marLeft w:val="0"/>
                  <w:marRight w:val="0"/>
                  <w:marTop w:val="0"/>
                  <w:marBottom w:val="0"/>
                  <w:divBdr>
                    <w:top w:val="none" w:sz="0" w:space="0" w:color="auto"/>
                    <w:left w:val="none" w:sz="0" w:space="0" w:color="auto"/>
                    <w:bottom w:val="none" w:sz="0" w:space="0" w:color="auto"/>
                    <w:right w:val="none" w:sz="0" w:space="0" w:color="auto"/>
                  </w:divBdr>
                  <w:divsChild>
                    <w:div w:id="1187216415">
                      <w:marLeft w:val="0"/>
                      <w:marRight w:val="0"/>
                      <w:marTop w:val="0"/>
                      <w:marBottom w:val="0"/>
                      <w:divBdr>
                        <w:top w:val="none" w:sz="0" w:space="0" w:color="auto"/>
                        <w:left w:val="none" w:sz="0" w:space="0" w:color="auto"/>
                        <w:bottom w:val="none" w:sz="0" w:space="0" w:color="auto"/>
                        <w:right w:val="none" w:sz="0" w:space="0" w:color="auto"/>
                      </w:divBdr>
                      <w:divsChild>
                        <w:div w:id="2018655488">
                          <w:marLeft w:val="250"/>
                          <w:marRight w:val="2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0189236">
      <w:bodyDiv w:val="1"/>
      <w:marLeft w:val="0"/>
      <w:marRight w:val="0"/>
      <w:marTop w:val="0"/>
      <w:marBottom w:val="0"/>
      <w:divBdr>
        <w:top w:val="none" w:sz="0" w:space="0" w:color="auto"/>
        <w:left w:val="none" w:sz="0" w:space="0" w:color="auto"/>
        <w:bottom w:val="none" w:sz="0" w:space="0" w:color="auto"/>
        <w:right w:val="none" w:sz="0" w:space="0" w:color="auto"/>
      </w:divBdr>
    </w:div>
    <w:div w:id="1216893595">
      <w:bodyDiv w:val="1"/>
      <w:marLeft w:val="0"/>
      <w:marRight w:val="0"/>
      <w:marTop w:val="0"/>
      <w:marBottom w:val="0"/>
      <w:divBdr>
        <w:top w:val="none" w:sz="0" w:space="0" w:color="auto"/>
        <w:left w:val="none" w:sz="0" w:space="0" w:color="auto"/>
        <w:bottom w:val="none" w:sz="0" w:space="0" w:color="auto"/>
        <w:right w:val="none" w:sz="0" w:space="0" w:color="auto"/>
      </w:divBdr>
      <w:divsChild>
        <w:div w:id="90009386">
          <w:marLeft w:val="0"/>
          <w:marRight w:val="0"/>
          <w:marTop w:val="0"/>
          <w:marBottom w:val="0"/>
          <w:divBdr>
            <w:top w:val="single" w:sz="4" w:space="0" w:color="000000"/>
            <w:left w:val="single" w:sz="4" w:space="0" w:color="000000"/>
            <w:bottom w:val="single" w:sz="4" w:space="0" w:color="000000"/>
            <w:right w:val="single" w:sz="4" w:space="0" w:color="000000"/>
          </w:divBdr>
          <w:divsChild>
            <w:div w:id="1656957131">
              <w:marLeft w:val="0"/>
              <w:marRight w:val="0"/>
              <w:marTop w:val="0"/>
              <w:marBottom w:val="0"/>
              <w:divBdr>
                <w:top w:val="none" w:sz="0" w:space="0" w:color="auto"/>
                <w:left w:val="none" w:sz="0" w:space="0" w:color="auto"/>
                <w:bottom w:val="none" w:sz="0" w:space="0" w:color="auto"/>
                <w:right w:val="none" w:sz="0" w:space="0" w:color="auto"/>
              </w:divBdr>
              <w:divsChild>
                <w:div w:id="474760253">
                  <w:marLeft w:val="0"/>
                  <w:marRight w:val="0"/>
                  <w:marTop w:val="0"/>
                  <w:marBottom w:val="0"/>
                  <w:divBdr>
                    <w:top w:val="none" w:sz="0" w:space="0" w:color="auto"/>
                    <w:left w:val="none" w:sz="0" w:space="0" w:color="auto"/>
                    <w:bottom w:val="none" w:sz="0" w:space="0" w:color="auto"/>
                    <w:right w:val="none" w:sz="0" w:space="0" w:color="auto"/>
                  </w:divBdr>
                  <w:divsChild>
                    <w:div w:id="827752177">
                      <w:marLeft w:val="0"/>
                      <w:marRight w:val="0"/>
                      <w:marTop w:val="0"/>
                      <w:marBottom w:val="0"/>
                      <w:divBdr>
                        <w:top w:val="none" w:sz="0" w:space="0" w:color="auto"/>
                        <w:left w:val="none" w:sz="0" w:space="0" w:color="auto"/>
                        <w:bottom w:val="none" w:sz="0" w:space="0" w:color="auto"/>
                        <w:right w:val="none" w:sz="0" w:space="0" w:color="auto"/>
                      </w:divBdr>
                      <w:divsChild>
                        <w:div w:id="766391838">
                          <w:marLeft w:val="250"/>
                          <w:marRight w:val="2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1960485">
      <w:bodyDiv w:val="1"/>
      <w:marLeft w:val="0"/>
      <w:marRight w:val="0"/>
      <w:marTop w:val="0"/>
      <w:marBottom w:val="0"/>
      <w:divBdr>
        <w:top w:val="none" w:sz="0" w:space="0" w:color="auto"/>
        <w:left w:val="none" w:sz="0" w:space="0" w:color="auto"/>
        <w:bottom w:val="none" w:sz="0" w:space="0" w:color="auto"/>
        <w:right w:val="none" w:sz="0" w:space="0" w:color="auto"/>
      </w:divBdr>
    </w:div>
    <w:div w:id="1276057475">
      <w:bodyDiv w:val="1"/>
      <w:marLeft w:val="0"/>
      <w:marRight w:val="0"/>
      <w:marTop w:val="0"/>
      <w:marBottom w:val="0"/>
      <w:divBdr>
        <w:top w:val="none" w:sz="0" w:space="0" w:color="auto"/>
        <w:left w:val="none" w:sz="0" w:space="0" w:color="auto"/>
        <w:bottom w:val="none" w:sz="0" w:space="0" w:color="auto"/>
        <w:right w:val="none" w:sz="0" w:space="0" w:color="auto"/>
      </w:divBdr>
    </w:div>
    <w:div w:id="159412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dentauru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2007\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Briefpapier.dotx</Template>
  <TotalTime>0</TotalTime>
  <Pages>2</Pages>
  <Words>620</Words>
  <Characters>3468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Dentaurum Data Service GmbH</Company>
  <LinksUpToDate>false</LinksUpToDate>
  <CharactersWithSpaces>4080</CharactersWithSpaces>
  <SharedDoc>false</SharedDoc>
  <HLinks>
    <vt:vector size="12" baseType="variant">
      <vt:variant>
        <vt:i4>1179729</vt:i4>
      </vt:variant>
      <vt:variant>
        <vt:i4>1026</vt:i4>
      </vt:variant>
      <vt:variant>
        <vt:i4>1025</vt:i4>
      </vt:variant>
      <vt:variant>
        <vt:i4>1</vt:i4>
      </vt:variant>
      <vt:variant>
        <vt:lpwstr>\\dds08\public\vorlagen\dentau_med.jpg</vt:lpwstr>
      </vt:variant>
      <vt:variant>
        <vt:lpwstr/>
      </vt:variant>
      <vt:variant>
        <vt:i4>6881378</vt:i4>
      </vt:variant>
      <vt:variant>
        <vt:i4>1030</vt:i4>
      </vt:variant>
      <vt:variant>
        <vt:i4>1026</vt:i4>
      </vt:variant>
      <vt:variant>
        <vt:i4>1</vt:i4>
      </vt:variant>
      <vt:variant>
        <vt:lpwstr>C:\Dokumente und Einstellungen\toth\Desktop\dentalindustrie.jpg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cubero</dc:creator>
  <cp:lastModifiedBy>Garbe.L</cp:lastModifiedBy>
  <cp:revision>3</cp:revision>
  <cp:lastPrinted>2017-08-03T14:59:00Z</cp:lastPrinted>
  <dcterms:created xsi:type="dcterms:W3CDTF">2017-08-29T08:12:00Z</dcterms:created>
  <dcterms:modified xsi:type="dcterms:W3CDTF">2017-08-29T08:13:00Z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-712762795</vt:i4>
  </property>
  <property fmtid="{D5CDD505-2E9C-101B-9397-08002B2CF9AE}" pid="3" name="_NewReviewCycle">
    <vt:lpwstr/>
  </property>
  <property fmtid="{D5CDD505-2E9C-101B-9397-08002B2CF9AE}" pid="4" name="_EmailSubject">
    <vt:lpwstr>Übersetzung PR Neue tomas Abutments - en, fr ,es</vt:lpwstr>
  </property>
  <property fmtid="{D5CDD505-2E9C-101B-9397-08002B2CF9AE}" pid="5" name="_AuthorEmail">
    <vt:lpwstr>christa.fiedler@dentaurum.de</vt:lpwstr>
  </property>
  <property fmtid="{D5CDD505-2E9C-101B-9397-08002B2CF9AE}" pid="6" name="_AuthorEmailDisplayName">
    <vt:lpwstr>Fiedler, Christa</vt:lpwstr>
  </property>
  <property fmtid="{D5CDD505-2E9C-101B-9397-08002B2CF9AE}" pid="7" name="_PreviousAdHocReviewCycleID">
    <vt:i4>2133770409</vt:i4>
  </property>
</Properties>
</file>